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Joint Committee on Election Law Committee Members,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There are several Ranked Choice Voting (RCV) bills in front of your committee, including but not limited to H.869, S.531, and H.809. The following are my concerns regarding these bills.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 Voters would need to research all candidates for a particular office, including candidates they might not usually vote for, which could result in some voters not conducting the necessary research to make informed decisions.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 Some voters might find the ranking process confusing, potentially leading to incorrect rankings or decisions not to vote.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 There is a possibility that some voters might only vote for one candidate, and if that candidate is eliminated after the first round, their vote would be excluded from subsequent rounds.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 RCV involves a longer voting process and might be susceptible to errors.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 Computer tabulation would be required, making it challenging to audit the results as required by Section 301 of the 2002 Help America Vote Act.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 Hand recounts could be difficult, time-consuming, and prone to error. Counting cannot begin until all ballots are received, which is 15 days after Election Day, delaying the final election results.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· RCV may require voters to rank candidates they do not prefer. RCV was on the 2020 ballot and Massachusetts voters rejected it; 55% of Massachusetts voters opposed the adoption of RCV, while only 45% supported it.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these reasons, I urge you to oppose these bills.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[City]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are the email addresses for the Joint Committee on Election Law: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John.Keenan@masenate.gov; Jacob.Oliveira@masenate.gov; Daniel.Hunt@mahouse.gov; Rita.Mendes@mahouse.gov; Cynthia.Creem@masenate.gov; James.Eldridge@masenate.gov; Becca.Rausch@masenate.gov; Ryan.Fattman@masenate.gov; david.robertson@mahouse.gov; Ryan.Hamilton@mahouse.gov; Priscila.Sousa@mahouse.gov; Tara.Hong@mahouse.gov; Joan.Meschino@mahouse.gov; Christopher.Markey@mahouse.gov; Leigh.Davis@mahouse.gov; Paul.Frost@mahouse.gov; Marc.Lombardo@mahouse.gov;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